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0EBE" w14:textId="77777777" w:rsidR="001124A7" w:rsidRPr="00D72BFA" w:rsidRDefault="001124A7" w:rsidP="00D72BFA">
      <w:pPr>
        <w:shd w:val="clear" w:color="auto" w:fill="FFFFFF"/>
        <w:textAlignment w:val="baseline"/>
        <w:rPr>
          <w:rFonts w:ascii="Times New Roman" w:eastAsia="Times New Roman" w:hAnsi="Times New Roman" w:cs="Times New Roman"/>
          <w:b/>
          <w:bCs/>
          <w:lang w:eastAsia="pl-PL"/>
        </w:rPr>
      </w:pPr>
    </w:p>
    <w:p w14:paraId="54667D64" w14:textId="77777777" w:rsidR="003E326C"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 xml:space="preserve">Prawo dostępu przysługujące osobie, której dane dotyczą </w:t>
      </w:r>
      <w:r w:rsidR="00815AF6" w:rsidRPr="00D72BFA">
        <w:rPr>
          <w:rFonts w:ascii="Times New Roman" w:eastAsia="Times New Roman" w:hAnsi="Times New Roman" w:cs="Times New Roman"/>
          <w:b/>
          <w:bCs/>
          <w:sz w:val="20"/>
          <w:szCs w:val="20"/>
          <w:lang w:eastAsia="pl-PL"/>
        </w:rPr>
        <w:t>– Art.</w:t>
      </w:r>
      <w:r w:rsidRPr="00D72BFA">
        <w:rPr>
          <w:rFonts w:ascii="Times New Roman" w:eastAsia="Times New Roman" w:hAnsi="Times New Roman" w:cs="Times New Roman"/>
          <w:b/>
          <w:bCs/>
          <w:sz w:val="20"/>
          <w:szCs w:val="20"/>
          <w:lang w:eastAsia="pl-PL"/>
        </w:rPr>
        <w:t xml:space="preserve"> 15</w:t>
      </w:r>
      <w:r w:rsidR="005D47E9" w:rsidRPr="00D72BFA">
        <w:rPr>
          <w:rFonts w:ascii="Times New Roman" w:eastAsia="Times New Roman" w:hAnsi="Times New Roman" w:cs="Times New Roman"/>
          <w:b/>
          <w:bCs/>
          <w:sz w:val="20"/>
          <w:szCs w:val="20"/>
          <w:lang w:eastAsia="pl-PL"/>
        </w:rPr>
        <w:t xml:space="preserve"> RODO.</w:t>
      </w:r>
    </w:p>
    <w:p w14:paraId="7AE55485" w14:textId="77777777" w:rsidR="003E326C" w:rsidRPr="00D72BFA" w:rsidRDefault="003E326C" w:rsidP="005D47E9">
      <w:pPr>
        <w:shd w:val="clear" w:color="auto" w:fill="FFFFFF"/>
        <w:jc w:val="both"/>
        <w:textAlignment w:val="baseline"/>
        <w:rPr>
          <w:rFonts w:ascii="Times New Roman" w:eastAsia="Times New Roman" w:hAnsi="Times New Roman" w:cs="Times New Roman"/>
          <w:b/>
          <w:bCs/>
          <w:sz w:val="20"/>
          <w:szCs w:val="20"/>
          <w:lang w:eastAsia="pl-PL"/>
        </w:rPr>
      </w:pPr>
    </w:p>
    <w:p w14:paraId="4AE8616F"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Osoba, której dane dotyczą, jest uprawniona do uzyskania od administratora potwierdzenia, czy przetwarzane są dane osobowe jej dotyczące, a jeżeli ma to miejsce, jest uprawniona do uzyskania dostępu do nich oraz następujących informacji: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9"/>
        <w:gridCol w:w="8898"/>
      </w:tblGrid>
      <w:tr w:rsidR="002F2CAB" w:rsidRPr="00D72BFA" w14:paraId="041D5BDD" w14:textId="77777777" w:rsidTr="00815AF6">
        <w:tc>
          <w:tcPr>
            <w:tcW w:w="15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FEEC78C"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484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66A391A"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cele przetwarzania;</w:t>
            </w:r>
          </w:p>
        </w:tc>
      </w:tr>
    </w:tbl>
    <w:p w14:paraId="7559D059"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92"/>
        <w:gridCol w:w="8885"/>
      </w:tblGrid>
      <w:tr w:rsidR="002F2CAB" w:rsidRPr="00D72BFA" w14:paraId="6AFA3ADF" w14:textId="77777777" w:rsidTr="00815AF6">
        <w:tc>
          <w:tcPr>
            <w:tcW w:w="15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19AE6D6"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b)</w:t>
            </w:r>
          </w:p>
        </w:tc>
        <w:tc>
          <w:tcPr>
            <w:tcW w:w="484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E9666FF"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kategorie odnośnych danych osobowych;</w:t>
            </w:r>
          </w:p>
        </w:tc>
      </w:tr>
    </w:tbl>
    <w:p w14:paraId="1CB16F21"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5A082972"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5E01110A"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9F7947B"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informacje o odbiorcach lub kategoriach odbiorców, którym dane osobowe zostały lub zostaną ujawnione, w szczególności o odbiorcach w państwach trzecich lub organizacjach międzynarodowych;</w:t>
            </w:r>
          </w:p>
        </w:tc>
      </w:tr>
    </w:tbl>
    <w:p w14:paraId="062AD070"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40352E87"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38AF9E2"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5A1187B"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w miarę możliwości planowany okres przechowywania danych osobowych, a gdy nie jest to możliwe, kryteria ustalania tego okresu;</w:t>
            </w:r>
          </w:p>
        </w:tc>
      </w:tr>
    </w:tbl>
    <w:p w14:paraId="5346D705"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2BA082DD"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5FB3BCD2"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D5FB49C"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informacje o prawie do żądania od administratora sprostowania, usunięcia lub ograniczenia przetwarzania danych osobowych dotyczącego osoby, której dane dotyczą, oraz do wniesienia sprzeciwu wobec takiego przetwarzania;</w:t>
            </w:r>
          </w:p>
        </w:tc>
      </w:tr>
    </w:tbl>
    <w:p w14:paraId="47C928FC"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09"/>
        <w:gridCol w:w="8768"/>
      </w:tblGrid>
      <w:tr w:rsidR="00D72BFA" w:rsidRPr="00D72BFA" w14:paraId="2A45FD7D"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B361714" w14:textId="73936722"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f</w:t>
            </w:r>
            <w:r w:rsidR="00D72BFA">
              <w:rPr>
                <w:rFonts w:ascii="Times New Roman" w:eastAsia="Times New Roman" w:hAnsi="Times New Roman" w:cs="Times New Roman"/>
                <w:sz w:val="20"/>
                <w:szCs w:val="20"/>
                <w:lang w:eastAsia="pl-PL"/>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5201157"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informacje o prawie wniesienia skargi do organu nadzorczego;</w:t>
            </w:r>
          </w:p>
        </w:tc>
      </w:tr>
    </w:tbl>
    <w:p w14:paraId="5A1A77CE"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3E70C16A"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472FA0B"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9EF5A88"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jeżeli dane osobowe nie zostały zebrane od osoby, której dane dotyczą – wszelkie dostępne informacje o ich źródle;</w:t>
            </w:r>
          </w:p>
        </w:tc>
      </w:tr>
    </w:tbl>
    <w:p w14:paraId="06B8C738"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13CE3159"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9BF5C4C"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D44CF36"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informacje o zautomatyzowanym podejmowaniu decyzji, w tym o profilowaniu, o którym mowa w art. 22 ust. 1 i 4, oraz – przynajmniej w tych przypadkach – istotne informacje o zasadach ich podejmowania, a także o znaczeniu i przewidywanych konsekwencjach takiego przetwarzania dla osoby, której dane dotyczą.</w:t>
            </w:r>
          </w:p>
        </w:tc>
      </w:tr>
    </w:tbl>
    <w:p w14:paraId="6847D7EE"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Jeżeli dane osobowe są przekazywane do państwa trzeciego lub organizacji międzynarodowej, osoba, której dane dotyczą, ma prawo zostać poinformowana o odpowiednich zabezpieczeniach, o których mowa w art. 46, związanych z przekazaniem.</w:t>
      </w:r>
    </w:p>
    <w:p w14:paraId="2733B2EF"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3.   Administrator dostarcza osobie, której dane dotyczą, kopię danych osobowych podlegających przetwarzaniu. Za wszelkie kolejne kopie, o które zwróci się osoba, której dane dotyczą, administrator może pobrać opłatę w rozsądnej wysokości wynikającej z kosztów administracyjnych. Jeżeli osoba, której dane dotyczą, zwraca się o kopię drogą elektroniczną i jeżeli nie zaznaczy inaczej, informacji udziela się powszechnie stosowaną drogą elektroniczną.</w:t>
      </w:r>
    </w:p>
    <w:p w14:paraId="05643CC4"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4.   Prawo do uzyskania kopii, o której mowa w ust. 3, nie może niekorzystnie wpływać na prawa i wolności innych.</w:t>
      </w:r>
    </w:p>
    <w:p w14:paraId="717BD8AF" w14:textId="77777777" w:rsidR="00815AF6" w:rsidRPr="00D72BFA" w:rsidRDefault="00815AF6" w:rsidP="00815AF6">
      <w:pPr>
        <w:shd w:val="clear" w:color="auto" w:fill="FFFFFF"/>
        <w:jc w:val="both"/>
        <w:textAlignment w:val="baseline"/>
        <w:rPr>
          <w:rFonts w:ascii="Times New Roman" w:eastAsia="Times New Roman" w:hAnsi="Times New Roman" w:cs="Times New Roman"/>
          <w:b/>
          <w:bCs/>
          <w:sz w:val="20"/>
          <w:szCs w:val="20"/>
          <w:lang w:eastAsia="pl-PL"/>
        </w:rPr>
      </w:pPr>
    </w:p>
    <w:p w14:paraId="3734953B" w14:textId="77777777" w:rsidR="00815AF6" w:rsidRPr="00D72BFA" w:rsidRDefault="003E326C" w:rsidP="00815AF6">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Prawo do sprostowania danych</w:t>
      </w:r>
      <w:r w:rsidR="005D47E9" w:rsidRPr="00D72BFA">
        <w:rPr>
          <w:rFonts w:ascii="Times New Roman" w:eastAsia="Times New Roman" w:hAnsi="Times New Roman" w:cs="Times New Roman"/>
          <w:b/>
          <w:bCs/>
          <w:sz w:val="20"/>
          <w:szCs w:val="20"/>
          <w:lang w:eastAsia="pl-PL"/>
        </w:rPr>
        <w:t xml:space="preserve"> -</w:t>
      </w:r>
      <w:r w:rsidR="00815AF6" w:rsidRPr="00D72BFA">
        <w:rPr>
          <w:rFonts w:ascii="Times New Roman" w:eastAsia="Times New Roman" w:hAnsi="Times New Roman" w:cs="Times New Roman"/>
          <w:b/>
          <w:bCs/>
          <w:sz w:val="20"/>
          <w:szCs w:val="20"/>
          <w:lang w:eastAsia="pl-PL"/>
        </w:rPr>
        <w:t xml:space="preserve"> </w:t>
      </w:r>
      <w:r w:rsidR="005D47E9" w:rsidRPr="00D72BFA">
        <w:rPr>
          <w:rFonts w:ascii="Times New Roman" w:eastAsia="Times New Roman" w:hAnsi="Times New Roman" w:cs="Times New Roman"/>
          <w:b/>
          <w:bCs/>
          <w:sz w:val="20"/>
          <w:szCs w:val="20"/>
          <w:lang w:eastAsia="pl-PL"/>
        </w:rPr>
        <w:t>Art.</w:t>
      </w:r>
      <w:r w:rsidR="00815AF6" w:rsidRPr="00D72BFA">
        <w:rPr>
          <w:rFonts w:ascii="Times New Roman" w:eastAsia="Times New Roman" w:hAnsi="Times New Roman" w:cs="Times New Roman"/>
          <w:b/>
          <w:bCs/>
          <w:sz w:val="20"/>
          <w:szCs w:val="20"/>
          <w:lang w:eastAsia="pl-PL"/>
        </w:rPr>
        <w:t>16</w:t>
      </w:r>
      <w:r w:rsidR="005D47E9" w:rsidRPr="00D72BFA">
        <w:rPr>
          <w:rFonts w:ascii="Times New Roman" w:eastAsia="Times New Roman" w:hAnsi="Times New Roman" w:cs="Times New Roman"/>
          <w:b/>
          <w:bCs/>
          <w:sz w:val="20"/>
          <w:szCs w:val="20"/>
          <w:lang w:eastAsia="pl-PL"/>
        </w:rPr>
        <w:t xml:space="preserve"> RODO.</w:t>
      </w:r>
    </w:p>
    <w:p w14:paraId="774DC263"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b/>
          <w:bCs/>
          <w:sz w:val="20"/>
          <w:szCs w:val="20"/>
          <w:lang w:eastAsia="pl-PL"/>
        </w:rPr>
      </w:pPr>
    </w:p>
    <w:p w14:paraId="7D273484"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Osoba, której dane dotyczą, ma prawo żądania od administratora niezwłocznego sprostowania dotyczących jej danych osobowych, które są nieprawidłowe. Z uwzględnieniem celów przetwarzania, osoba, której dane dotyczą, ma prawo żądania uzupełnienia niekompletnych danych osobowych, w tym poprzez przedstawienie dodatkowego oświadczenia.</w:t>
      </w:r>
    </w:p>
    <w:p w14:paraId="6416A32A" w14:textId="77777777" w:rsidR="005D47E9" w:rsidRPr="00D72BFA" w:rsidRDefault="005D47E9" w:rsidP="00815AF6">
      <w:pPr>
        <w:shd w:val="clear" w:color="auto" w:fill="FFFFFF"/>
        <w:jc w:val="both"/>
        <w:textAlignment w:val="baseline"/>
        <w:rPr>
          <w:rFonts w:ascii="Times New Roman" w:eastAsia="Times New Roman" w:hAnsi="Times New Roman" w:cs="Times New Roman"/>
          <w:sz w:val="20"/>
          <w:szCs w:val="20"/>
          <w:lang w:eastAsia="pl-PL"/>
        </w:rPr>
      </w:pPr>
    </w:p>
    <w:p w14:paraId="537E5BCC"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Prawo do usunięcia danych („prawo do bycia zapomnianym”)</w:t>
      </w:r>
      <w:r w:rsidR="005D47E9" w:rsidRPr="00D72BFA">
        <w:rPr>
          <w:rFonts w:ascii="Times New Roman" w:eastAsia="Times New Roman" w:hAnsi="Times New Roman" w:cs="Times New Roman"/>
          <w:b/>
          <w:bCs/>
          <w:sz w:val="20"/>
          <w:szCs w:val="20"/>
          <w:lang w:eastAsia="pl-PL"/>
        </w:rPr>
        <w:t xml:space="preserve">  - Art.17 RODO.</w:t>
      </w:r>
    </w:p>
    <w:p w14:paraId="31947D46"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2896A9F1"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Osoba, której dane dotyczą, ma prawo żądania od administratora niezwłocznego usunięcia dotyczących jej danych osobowych, a administrator ma obowiązek bez zbędnej zwłoki usunąć dane osobowe, jeżeli zachodzi jedna z następujących okoliczności: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56A85638"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7024F47"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EA830A1"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dane osobowe nie są już niezbędne do celów, w których zostały zebrane lub w inny sposób przetwarzane;</w:t>
            </w:r>
          </w:p>
          <w:p w14:paraId="455E8886" w14:textId="77777777" w:rsidR="00E22324" w:rsidRPr="00D72BFA" w:rsidRDefault="00E22324" w:rsidP="00D72BFA">
            <w:pPr>
              <w:spacing w:line="276" w:lineRule="auto"/>
              <w:jc w:val="both"/>
              <w:textAlignment w:val="baseline"/>
              <w:rPr>
                <w:rFonts w:ascii="Times New Roman" w:eastAsia="Times New Roman" w:hAnsi="Times New Roman" w:cs="Times New Roman"/>
                <w:sz w:val="20"/>
                <w:szCs w:val="20"/>
                <w:lang w:eastAsia="pl-PL"/>
              </w:rPr>
            </w:pPr>
          </w:p>
        </w:tc>
      </w:tr>
    </w:tbl>
    <w:p w14:paraId="13007E82"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0B2F16CF"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50204B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lastRenderedPageBreak/>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97C9364"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osoba, której dane dotyczą, cofnęła zgodę, na której opiera się przetwarzanie zgodnie z art. 6 ust. 1 lit. a) lub art. 9 ust. 2 lit. a), i nie ma innej podstawy prawnej przetwarzania;</w:t>
            </w:r>
          </w:p>
        </w:tc>
      </w:tr>
    </w:tbl>
    <w:p w14:paraId="288AAE82"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44B2CEE1"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B558A9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BB39DA0"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osoba, której dane dotyczą, wnosi sprzeciw na mocy art. 21 ust. 1 wobec przetwarzania i nie występują nadrzędne prawnie uzasadnione podstawy przetwarzania lub osoba, której dane dotyczą, wnosi sprzeciw na mocy art. 21 ust. 2 wobec przetwarzania;</w:t>
            </w:r>
          </w:p>
        </w:tc>
      </w:tr>
    </w:tbl>
    <w:p w14:paraId="1AB759B8"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14"/>
        <w:gridCol w:w="8663"/>
      </w:tblGrid>
      <w:tr w:rsidR="00D72BFA" w:rsidRPr="00D72BFA" w14:paraId="1183EBFB"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6F9A25E"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1D69E4E"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dane osobowe były przetwarzane niezgodnie z prawem;</w:t>
            </w:r>
          </w:p>
        </w:tc>
      </w:tr>
    </w:tbl>
    <w:p w14:paraId="0D00C744"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639E61C5"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1E92F53"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9C98920"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dane osobowe muszą zostać usunięte w celu wywiązania się z obowiązku prawnego przewidzianego w prawie Unii lub prawie państwa członkowskiego, któremu podlega administrator;</w:t>
            </w:r>
          </w:p>
        </w:tc>
      </w:tr>
    </w:tbl>
    <w:p w14:paraId="4E19B7E7"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39"/>
        <w:gridCol w:w="8938"/>
      </w:tblGrid>
      <w:tr w:rsidR="00D72BFA" w:rsidRPr="00D72BFA" w14:paraId="62FD840B"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BB103F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0F2F067"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dane osobowe zostały zebrane w związku z oferowaniem usług społeczeństwa informacyjnego, o których mowa w art. 8 ust. 1.</w:t>
            </w:r>
          </w:p>
        </w:tc>
      </w:tr>
    </w:tbl>
    <w:p w14:paraId="32BF9807"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Jeżeli administrator upublicznił dane osobowe, a na mocy ust. 1 ma obowiązek usunąć te dane osobowe, to – biorąc pod uwagę dostępną technologię i koszt realizacji – podejmuje rozsądne działania, w tym środki techniczne, by poinformować administratorów przetwarzających te dane osobowe, że osoba, której dane dotyczą, żąda, by administratorzy ci usunęli wszelkie łącza do tych danych, kopie tych danych osobowych lub ich replikacje.</w:t>
      </w:r>
    </w:p>
    <w:p w14:paraId="7B380BF2"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3.   Ust. 1 i 2 nie mają zastosowania, w zakresie w jakim przetwarzanie jest niezbędne: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9"/>
        <w:gridCol w:w="8898"/>
      </w:tblGrid>
      <w:tr w:rsidR="002F2CAB" w:rsidRPr="00D72BFA" w14:paraId="0D7351A3" w14:textId="77777777" w:rsidTr="005D47E9">
        <w:tc>
          <w:tcPr>
            <w:tcW w:w="15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02F4717"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484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0C700B8"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do korzystania z prawa do wolności wypowiedzi i informacji;</w:t>
            </w:r>
          </w:p>
        </w:tc>
      </w:tr>
    </w:tbl>
    <w:p w14:paraId="1C0F95EF"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08DABE5D"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CF7C2C0"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7F6F9D1"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do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tc>
      </w:tr>
    </w:tbl>
    <w:p w14:paraId="4AC5BDCA"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662CB977"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F0EDD94"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8573F86"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z uwagi na względy interesu publicznego w dziedzinie zdrowia publicznego zgodnie z art. 9 ust. 2 lit. h) oraz i) i art. 9 ust. 3;</w:t>
            </w:r>
          </w:p>
        </w:tc>
      </w:tr>
    </w:tbl>
    <w:p w14:paraId="5CD3F680"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2EA9D1D5"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AA47865"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2ABAA1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do celów archiwalnych w interesie publicznym, do celów badań naukowych lub historycznych lub do celów statystycznych zgodnie z art. 89 ust. 1, o ile prawdopodobne jest, że prawo, o którym mowa w ust. 1, uniemożliwi lub poważnie utrudni realizację celów takiego przetwarzania; lub</w:t>
            </w:r>
          </w:p>
        </w:tc>
      </w:tr>
    </w:tbl>
    <w:p w14:paraId="43E3B42B"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76"/>
        <w:gridCol w:w="8601"/>
      </w:tblGrid>
      <w:tr w:rsidR="00D72BFA" w:rsidRPr="00D72BFA" w14:paraId="79433602"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1839CA8"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11D9401" w14:textId="77777777" w:rsidR="003E326C"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do ustalenia, dochodzenia lub obrony roszczeń.</w:t>
            </w:r>
          </w:p>
          <w:p w14:paraId="79831C32" w14:textId="77777777" w:rsidR="00D72BFA" w:rsidRPr="00D72BFA" w:rsidRDefault="00D72BFA" w:rsidP="00D72BFA">
            <w:pPr>
              <w:spacing w:line="276" w:lineRule="auto"/>
              <w:jc w:val="both"/>
              <w:textAlignment w:val="baseline"/>
              <w:rPr>
                <w:rFonts w:ascii="Times New Roman" w:eastAsia="Times New Roman" w:hAnsi="Times New Roman" w:cs="Times New Roman"/>
                <w:sz w:val="20"/>
                <w:szCs w:val="20"/>
                <w:lang w:eastAsia="pl-PL"/>
              </w:rPr>
            </w:pPr>
          </w:p>
          <w:p w14:paraId="66C39BF7" w14:textId="77777777" w:rsidR="005D47E9" w:rsidRPr="00D72BFA" w:rsidRDefault="005D47E9" w:rsidP="00D72BFA">
            <w:pPr>
              <w:spacing w:line="276" w:lineRule="auto"/>
              <w:jc w:val="both"/>
              <w:textAlignment w:val="baseline"/>
              <w:rPr>
                <w:rFonts w:ascii="Times New Roman" w:eastAsia="Times New Roman" w:hAnsi="Times New Roman" w:cs="Times New Roman"/>
                <w:sz w:val="20"/>
                <w:szCs w:val="20"/>
                <w:lang w:eastAsia="pl-PL"/>
              </w:rPr>
            </w:pPr>
          </w:p>
        </w:tc>
      </w:tr>
    </w:tbl>
    <w:p w14:paraId="227BE9E2"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Prawo do ograniczenia przetwarzania</w:t>
      </w:r>
      <w:r w:rsidR="005D47E9" w:rsidRPr="00D72BFA">
        <w:rPr>
          <w:rFonts w:ascii="Times New Roman" w:eastAsia="Times New Roman" w:hAnsi="Times New Roman" w:cs="Times New Roman"/>
          <w:b/>
          <w:bCs/>
          <w:sz w:val="20"/>
          <w:szCs w:val="20"/>
          <w:lang w:eastAsia="pl-PL"/>
        </w:rPr>
        <w:t xml:space="preserve"> – Art. 18 RODO.</w:t>
      </w:r>
    </w:p>
    <w:p w14:paraId="06C84006"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4B4CCD24"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Osoba, której dane dotyczą, ma prawo żądania od administratora ograniczenia przetwarzania w następujących przypadkach:</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77686A04"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5C66C94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E456609"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osoba, której dane dotyczą, kwestionuje prawidłowość danych osobowych – na okres pozwalający administratorowi sprawdzić prawidłowość tych danych;</w:t>
            </w:r>
          </w:p>
        </w:tc>
      </w:tr>
    </w:tbl>
    <w:p w14:paraId="7BB81A4E"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74C4ABFD"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0D6101B"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F34B9B2"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przetwarzanie jest niezgodne z prawem, a osoba, której dane dotyczą, sprzeciwia się usunięciu danych osobowych, żądając w zamian ograniczenia ich wykorzystywania;</w:t>
            </w:r>
          </w:p>
        </w:tc>
      </w:tr>
    </w:tbl>
    <w:p w14:paraId="3807104E"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773A8E86"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20962DF"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D22B305"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administrator nie potrzebuje już danych osobowych do celów przetwarzania, ale są one potrzebne osobie, której dane dotyczą, do ustalenia, dochodzenia lub obrony roszczeń;</w:t>
            </w:r>
          </w:p>
        </w:tc>
      </w:tr>
    </w:tbl>
    <w:p w14:paraId="1C7A9501"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559410B2"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5B3179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29DAA1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osoba, której dane dotyczą, wniosła sprzeciw na mocy art. 21 ust. 1 wobec przetwarzania – do czasu stwierdzenia, czy prawnie uzasadnione podstawy po stronie administratora są nadrzędne wobec podstaw sprzeciwu osoby, której dane dotyczą.</w:t>
            </w:r>
          </w:p>
        </w:tc>
      </w:tr>
    </w:tbl>
    <w:p w14:paraId="4A02A6EB" w14:textId="35DDA858" w:rsidR="00E22324"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Jeżeli na mocy ust. 1 przetwarzanie zostało ograniczone, takie dane osobowe można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2CA6E1E"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lastRenderedPageBreak/>
        <w:t>3.   Przed uchyleniem ograniczenia przetwarzania administrator informuje o tym osobę, której dane dotyczą, która żądała ograniczenia na mocy ust. 1.</w:t>
      </w:r>
    </w:p>
    <w:p w14:paraId="0AEF728F" w14:textId="77777777" w:rsidR="005D47E9" w:rsidRPr="00D72BFA" w:rsidRDefault="005D47E9" w:rsidP="00815AF6">
      <w:pPr>
        <w:shd w:val="clear" w:color="auto" w:fill="FFFFFF"/>
        <w:jc w:val="both"/>
        <w:textAlignment w:val="baseline"/>
        <w:rPr>
          <w:rFonts w:ascii="Times New Roman" w:eastAsia="Times New Roman" w:hAnsi="Times New Roman" w:cs="Times New Roman"/>
          <w:sz w:val="20"/>
          <w:szCs w:val="20"/>
          <w:lang w:eastAsia="pl-PL"/>
        </w:rPr>
      </w:pPr>
    </w:p>
    <w:p w14:paraId="1F0A7C84"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Obowiązek powiadomienia o sprostowaniu lub usunięciu danych osobowych</w:t>
      </w:r>
    </w:p>
    <w:p w14:paraId="7057A001"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 xml:space="preserve"> lub o ograniczeniu przetwarzania</w:t>
      </w:r>
      <w:r w:rsidR="005D47E9" w:rsidRPr="00D72BFA">
        <w:rPr>
          <w:rFonts w:ascii="Times New Roman" w:eastAsia="Times New Roman" w:hAnsi="Times New Roman" w:cs="Times New Roman"/>
          <w:b/>
          <w:bCs/>
          <w:sz w:val="20"/>
          <w:szCs w:val="20"/>
          <w:lang w:eastAsia="pl-PL"/>
        </w:rPr>
        <w:t xml:space="preserve"> – Art. 19 RODO.</w:t>
      </w:r>
    </w:p>
    <w:p w14:paraId="6CA22E36"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24D3C488"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Administrator informuje o sprostowaniu lub usunięciu danych osobowych lub ograniczeniu przetwarzania, których dokonał zgodnie z art. 16, art. 17 ust. 1 i art. 18, każdego odbiorcę, któremu ujawniono dane osobowe, chyba że okaże się to niemożliwe lub będzie wymagać niewspółmiernie dużego wysiłku. Administrator informuje osobę, której dane dotyczą, o tych odbiorcach, jeżeli osoba, której dane dotyczą, tego zażąda.</w:t>
      </w:r>
    </w:p>
    <w:p w14:paraId="6B275312" w14:textId="77777777" w:rsidR="005D47E9" w:rsidRPr="00D72BFA" w:rsidRDefault="005D47E9" w:rsidP="00815AF6">
      <w:pPr>
        <w:shd w:val="clear" w:color="auto" w:fill="FFFFFF"/>
        <w:jc w:val="both"/>
        <w:textAlignment w:val="baseline"/>
        <w:rPr>
          <w:rFonts w:ascii="Times New Roman" w:eastAsia="Times New Roman" w:hAnsi="Times New Roman" w:cs="Times New Roman"/>
          <w:sz w:val="20"/>
          <w:szCs w:val="20"/>
          <w:lang w:eastAsia="pl-PL"/>
        </w:rPr>
      </w:pPr>
    </w:p>
    <w:p w14:paraId="5EAAC62F"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Prawo do przenoszenia danych</w:t>
      </w:r>
      <w:r w:rsidR="005D47E9" w:rsidRPr="00D72BFA">
        <w:rPr>
          <w:rFonts w:ascii="Times New Roman" w:eastAsia="Times New Roman" w:hAnsi="Times New Roman" w:cs="Times New Roman"/>
          <w:b/>
          <w:bCs/>
          <w:sz w:val="20"/>
          <w:szCs w:val="20"/>
          <w:lang w:eastAsia="pl-PL"/>
        </w:rPr>
        <w:t xml:space="preserve"> - Art. 20 RODO.</w:t>
      </w:r>
    </w:p>
    <w:p w14:paraId="5881E199"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09B89356"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73928A0F"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8F8FB2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52C891E9"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przetwarzanie odbywa się na podstawie zgody w myśl art. 6 ust. 1 lit. a) lub art. 9 ust. 2 lit. a) lub na podstawie umowy w myśl art. 6 ust. 1 lit. b); oraz</w:t>
            </w:r>
          </w:p>
        </w:tc>
      </w:tr>
    </w:tbl>
    <w:p w14:paraId="57C7494C"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92"/>
        <w:gridCol w:w="8885"/>
      </w:tblGrid>
      <w:tr w:rsidR="00D72BFA" w:rsidRPr="00D72BFA" w14:paraId="4EAC9DBE" w14:textId="77777777" w:rsidTr="005D47E9">
        <w:tc>
          <w:tcPr>
            <w:tcW w:w="15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353DF86"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b)</w:t>
            </w:r>
          </w:p>
        </w:tc>
        <w:tc>
          <w:tcPr>
            <w:tcW w:w="484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3B2D546"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przetwarzanie odbywa się w sposób zautomatyzowany.</w:t>
            </w:r>
          </w:p>
        </w:tc>
      </w:tr>
    </w:tbl>
    <w:p w14:paraId="4F2C6E85"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Wykonując prawo do przenoszenia danych na mocy ust. 1, osoba, której dane dotyczą, ma prawo żądania, by dane osobowe zostały przesłane przez administratora bezpośrednio innemu administratorowi, o ile jest to technicznie możliwe.</w:t>
      </w:r>
    </w:p>
    <w:p w14:paraId="7698BEC0"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3.   Wykonanie prawa, o którym mowa w ust. 1 niniejszego artykułu, pozostaje bez uszczerbku dla art. 17. Prawo to nie ma zastosowania do przetwarzania, które jest niezbędne do wykonania zadania realizowanego w interesie publicznym lub w ramach sprawowania władzy publicznej powierzonej administratorowi.</w:t>
      </w:r>
    </w:p>
    <w:p w14:paraId="5CDAD52B"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4.   Prawo, o którym mowa w ust. 1, nie może niekorzystnie wpływać na prawa i wolności innych.</w:t>
      </w:r>
    </w:p>
    <w:p w14:paraId="5230B18E" w14:textId="77777777" w:rsidR="005D47E9" w:rsidRPr="00D72BFA" w:rsidRDefault="005D47E9" w:rsidP="00815AF6">
      <w:pPr>
        <w:shd w:val="clear" w:color="auto" w:fill="FFFFFF"/>
        <w:jc w:val="both"/>
        <w:textAlignment w:val="baseline"/>
        <w:rPr>
          <w:rFonts w:ascii="Times New Roman" w:eastAsia="Times New Roman" w:hAnsi="Times New Roman" w:cs="Times New Roman"/>
          <w:b/>
          <w:bCs/>
          <w:sz w:val="20"/>
          <w:szCs w:val="20"/>
          <w:lang w:eastAsia="pl-PL"/>
        </w:rPr>
      </w:pPr>
    </w:p>
    <w:p w14:paraId="311873BF"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Prawo do sprzeciwu</w:t>
      </w:r>
      <w:r w:rsidR="005D47E9" w:rsidRPr="00D72BFA">
        <w:rPr>
          <w:rFonts w:ascii="Times New Roman" w:eastAsia="Times New Roman" w:hAnsi="Times New Roman" w:cs="Times New Roman"/>
          <w:b/>
          <w:bCs/>
          <w:sz w:val="20"/>
          <w:szCs w:val="20"/>
          <w:lang w:eastAsia="pl-PL"/>
        </w:rPr>
        <w:t xml:space="preserve"> – Art. 21 RODO.</w:t>
      </w:r>
    </w:p>
    <w:p w14:paraId="121D3417"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056417B2"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Osoba, której dane dotyczą, ma prawo w dowolnym momencie wnieść sprzeciw – z przyczyn związanych z jej szczególną sytuacją – wobec przetwarzania dotyczących jej danych osobowych opartego na art. 6 ust. 1 lit. e) lub f), w tym profilowania na podstawie tych przepisów.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w:t>
      </w:r>
    </w:p>
    <w:p w14:paraId="6BEDCA20"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Jeżeli dane osobowe są przetwarzane na potrzeby marketingu bezpośredniego, osoba, której dane dotyczą, ma prawo w dowolnym momencie wnieść sprzeciw wobec przetwarzania dotyczących jej danych osobowych na potrzeby takiego marketingu, w tym profilowania, w zakresie, w jakim przetwarzanie jest związane z takim marketingiem bezpośrednim.</w:t>
      </w:r>
    </w:p>
    <w:p w14:paraId="1C700BE3"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3.   Jeżeli osoba, której dane dotyczą, wniesie sprzeciw wobec przetwarzania do celów marketingu bezpośredniego, danych osobowych nie wolno już przetwarzać do takich celów.</w:t>
      </w:r>
    </w:p>
    <w:p w14:paraId="1184CA6D"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4.   Najpóźniej przy okazji pierwszej komunikacji z osobą, której dane dotyczą, wyraźnie informuje się ją o prawie, o którym mowa w ust. 1 i 2, oraz przedstawia się je jasno i odrębnie od wszelkich innych informacji.</w:t>
      </w:r>
    </w:p>
    <w:p w14:paraId="446AA8AB" w14:textId="68E8DF3E" w:rsidR="00E22324"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5.   W związku z korzystaniem z usług społeczeństwa informacyjnego i bez uszczerbku dla dyrektywy 2002/58/WE osoba, której dane dotyczą, może wykonać prawo do sprzeciwu za pośrednictwem zautomatyzowanych środków wykorzystujących specyfikacje techniczne.</w:t>
      </w:r>
    </w:p>
    <w:p w14:paraId="4AD58B07"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 xml:space="preserve">6.   Jeżeli dane osobowe są przetwarzane do celów badań naukowych lub historycznych lub do celów statystycznych na mocy art. 89 ust. 1, osoba, której dane dotyczą, ma prawo wnieść sprzeciw – z przyczyn </w:t>
      </w:r>
      <w:r w:rsidRPr="00D72BFA">
        <w:rPr>
          <w:rFonts w:ascii="Times New Roman" w:eastAsia="Times New Roman" w:hAnsi="Times New Roman" w:cs="Times New Roman"/>
          <w:sz w:val="20"/>
          <w:szCs w:val="20"/>
          <w:lang w:eastAsia="pl-PL"/>
        </w:rPr>
        <w:lastRenderedPageBreak/>
        <w:t>związanych z jej szczególną sytuacją – wobec przetwarzania dotyczących jej danych osobowych, chyba że przetwarzanie jest niezbędne do wykonania zadania realizowanego w interesie publicznym.</w:t>
      </w:r>
    </w:p>
    <w:p w14:paraId="7D435C63" w14:textId="77777777" w:rsidR="005D47E9" w:rsidRPr="00D72BFA" w:rsidRDefault="005D47E9" w:rsidP="00815AF6">
      <w:pPr>
        <w:shd w:val="clear" w:color="auto" w:fill="FFFFFF"/>
        <w:jc w:val="both"/>
        <w:textAlignment w:val="baseline"/>
        <w:rPr>
          <w:rFonts w:ascii="Times New Roman" w:eastAsia="Times New Roman" w:hAnsi="Times New Roman" w:cs="Times New Roman"/>
          <w:sz w:val="20"/>
          <w:szCs w:val="20"/>
          <w:lang w:eastAsia="pl-PL"/>
        </w:rPr>
      </w:pPr>
    </w:p>
    <w:p w14:paraId="1C3C41CC"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Zautomatyzowane podejmowanie decyzji w indywidualnych przypadkach,</w:t>
      </w:r>
    </w:p>
    <w:p w14:paraId="4EB4DE17" w14:textId="77777777" w:rsidR="005D47E9" w:rsidRPr="00D72BFA" w:rsidRDefault="003E326C" w:rsidP="005D47E9">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 xml:space="preserve"> w tym profilowanie</w:t>
      </w:r>
      <w:r w:rsidR="005D47E9" w:rsidRPr="00D72BFA">
        <w:rPr>
          <w:rFonts w:ascii="Times New Roman" w:eastAsia="Times New Roman" w:hAnsi="Times New Roman" w:cs="Times New Roman"/>
          <w:b/>
          <w:bCs/>
          <w:sz w:val="20"/>
          <w:szCs w:val="20"/>
          <w:lang w:eastAsia="pl-PL"/>
        </w:rPr>
        <w:t xml:space="preserve"> -  Art. 22 RODO.</w:t>
      </w:r>
    </w:p>
    <w:p w14:paraId="0BB8EDED"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b/>
          <w:bCs/>
          <w:sz w:val="20"/>
          <w:szCs w:val="20"/>
          <w:lang w:eastAsia="pl-PL"/>
        </w:rPr>
      </w:pPr>
    </w:p>
    <w:p w14:paraId="508C6135"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Osoba, której dane dotyczą, ma prawo do tego, by nie podlegać decyzji, która opiera się wyłącznie na zautomatyzowanym przetwarzaniu, w tym profilowaniu, i wywołuje wobec tej osoby skutki prawne lub w podobny sposób istotnie na nią wpływa.</w:t>
      </w:r>
    </w:p>
    <w:p w14:paraId="347A0C5D"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Ust. 1 nie ma zastosowania, jeżeli ta decyzja:</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1"/>
        <w:gridCol w:w="8906"/>
      </w:tblGrid>
      <w:tr w:rsidR="00D72BFA" w:rsidRPr="00D72BFA" w14:paraId="3AA7FFA1"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9392B05"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134337D"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jest niezbędna do zawarcia lub wykonania umowy między osobą, której dane dotyczą, a administratorem;</w:t>
            </w:r>
          </w:p>
        </w:tc>
      </w:tr>
    </w:tbl>
    <w:p w14:paraId="5A068653"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6AEFBFFD"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475BF8E4"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E681B65"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jest dozwolona prawem Unii lub prawem państwa członkowskiego, któremu podlega administrator i które przewiduje właściwe środki ochrony praw, wolności i prawnie uzasadnionych interesów osoby, której dane dotyczą; lub</w:t>
            </w:r>
          </w:p>
        </w:tc>
      </w:tr>
    </w:tbl>
    <w:p w14:paraId="0AA545FF"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9"/>
        <w:gridCol w:w="8898"/>
      </w:tblGrid>
      <w:tr w:rsidR="00D72BFA" w:rsidRPr="00D72BFA" w14:paraId="613BA1E7" w14:textId="77777777" w:rsidTr="005D47E9">
        <w:tc>
          <w:tcPr>
            <w:tcW w:w="15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17B0F7F"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w:t>
            </w:r>
          </w:p>
        </w:tc>
        <w:tc>
          <w:tcPr>
            <w:tcW w:w="484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90E3607"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opiera się na wyraźnej zgodzie osoby, której dane dotyczą.</w:t>
            </w:r>
          </w:p>
        </w:tc>
      </w:tr>
    </w:tbl>
    <w:p w14:paraId="47BF0DC8"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3.   W przypadkach, o których mowa w ust. 2 lit. a) i c), administrator wdraża właściwe środki ochrony praw, wolności i prawnie uzasadnionych interesów osoby, której dane dotyczą, a co najmniej prawa do uzyskania interwencji ludzkiej ze strony administratora, do wyrażenia własnego stanowiska i do zakwestionowania tej decyzji.</w:t>
      </w:r>
    </w:p>
    <w:p w14:paraId="07809CF5"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4.   Decyzje, o których mowa w ust. 2, nie mogą opierać się na szczególnych kategoriach danych osobowych, o których mowa w art. 9 ust. 1, chyba że zastosowanie ma art. 9 ust. 2 lit. a) lub g) i istnieją właściwe środki ochrony praw, wolności i prawnie uzasadnionych interesów osoby, której dane dotyczą.</w:t>
      </w:r>
    </w:p>
    <w:p w14:paraId="6C121AAC" w14:textId="77777777" w:rsidR="005D47E9" w:rsidRPr="00D72BFA" w:rsidRDefault="005D47E9" w:rsidP="00815AF6">
      <w:pPr>
        <w:shd w:val="clear" w:color="auto" w:fill="FFFFFF"/>
        <w:jc w:val="both"/>
        <w:textAlignment w:val="baseline"/>
        <w:rPr>
          <w:rFonts w:ascii="Times New Roman" w:eastAsia="Times New Roman" w:hAnsi="Times New Roman" w:cs="Times New Roman"/>
          <w:b/>
          <w:bCs/>
          <w:sz w:val="20"/>
          <w:szCs w:val="20"/>
          <w:lang w:eastAsia="pl-PL"/>
        </w:rPr>
      </w:pPr>
    </w:p>
    <w:p w14:paraId="0D96371E" w14:textId="77777777" w:rsidR="005D47E9" w:rsidRPr="00D72BFA" w:rsidRDefault="003E326C" w:rsidP="002F2CAB">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t>Zawiadamianie osoby, której dane dotyczą,</w:t>
      </w:r>
    </w:p>
    <w:p w14:paraId="56CD2C79" w14:textId="77777777" w:rsidR="005D47E9" w:rsidRPr="00D72BFA" w:rsidRDefault="003E326C" w:rsidP="002F2CAB">
      <w:pPr>
        <w:shd w:val="clear" w:color="auto" w:fill="FFFFFF"/>
        <w:jc w:val="center"/>
        <w:textAlignment w:val="baseline"/>
        <w:rPr>
          <w:rFonts w:ascii="Times New Roman" w:eastAsia="Times New Roman" w:hAnsi="Times New Roman" w:cs="Times New Roman"/>
          <w:i/>
          <w:iCs/>
          <w:sz w:val="20"/>
          <w:szCs w:val="20"/>
          <w:lang w:eastAsia="pl-PL"/>
        </w:rPr>
      </w:pPr>
      <w:r w:rsidRPr="00D72BFA">
        <w:rPr>
          <w:rFonts w:ascii="Times New Roman" w:eastAsia="Times New Roman" w:hAnsi="Times New Roman" w:cs="Times New Roman"/>
          <w:b/>
          <w:bCs/>
          <w:sz w:val="20"/>
          <w:szCs w:val="20"/>
          <w:lang w:eastAsia="pl-PL"/>
        </w:rPr>
        <w:t>o naruszeniu ochrony danych osobowych</w:t>
      </w:r>
      <w:r w:rsidR="005D47E9" w:rsidRPr="00D72BFA">
        <w:rPr>
          <w:rFonts w:ascii="Times New Roman" w:eastAsia="Times New Roman" w:hAnsi="Times New Roman" w:cs="Times New Roman"/>
          <w:b/>
          <w:bCs/>
          <w:sz w:val="20"/>
          <w:szCs w:val="20"/>
          <w:lang w:eastAsia="pl-PL"/>
        </w:rPr>
        <w:t xml:space="preserve"> -  Art.34 RODO.</w:t>
      </w:r>
    </w:p>
    <w:p w14:paraId="18300F1A"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06C01691"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Jeżeli naruszenie ochrony danych osobowych może powodować wysokie ryzyko naruszenia praw lub wolności osób fizycznych, administrator bez zbędnej zwłoki zawiadamia osobę, której dane dotyczą, o takim naruszeniu.</w:t>
      </w:r>
    </w:p>
    <w:p w14:paraId="122E5C0C"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Zawiadomienie, o którym mowa w ust. 1 niniejszego artykułu, jasnym i prostym językiem opisuje charakter naruszenia ochrony danych osobowych oraz zawiera przynajmniej informacje i środki, o których mowa w art. 33 ust. 3 lit. b), c) i d).</w:t>
      </w:r>
    </w:p>
    <w:p w14:paraId="178DE1A6"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3.   Zawiadomienie, o którym mowa w ust. 1, nie jest wymagane, w następujących przypadkach:</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55096B34"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9165401"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8A174C5"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administrator wdrożył odpowiednie techniczne i organizacyjne środki ochrony i środki te zostały zastosowane do danych osobowych, których dotyczy naruszenie, w szczególności środki takie jak szyfrowanie, uniemożliwiające odczyt osobom nieuprawnionym do dostępu do tych danych osobowych;</w:t>
            </w:r>
          </w:p>
        </w:tc>
      </w:tr>
    </w:tbl>
    <w:p w14:paraId="65628839"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8905"/>
      </w:tblGrid>
      <w:tr w:rsidR="00D72BFA" w:rsidRPr="00D72BFA" w14:paraId="6507B26B"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010E6D9"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374DB23"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administrator zastosował następnie środki eliminujące prawdopodobieństwo wysokiego ryzyka naruszenia praw lub wolności osoby, której dane dotyczą, o którym mowa w ust. 1;</w:t>
            </w:r>
          </w:p>
        </w:tc>
      </w:tr>
    </w:tbl>
    <w:p w14:paraId="73549181" w14:textId="77777777" w:rsidR="003E326C" w:rsidRPr="00D72BFA" w:rsidRDefault="003E326C" w:rsidP="00D72BFA">
      <w:pPr>
        <w:spacing w:line="276" w:lineRule="auto"/>
        <w:jc w:val="both"/>
        <w:rPr>
          <w:rFonts w:ascii="Times New Roman" w:eastAsia="Times New Roman" w:hAnsi="Times New Roman" w:cs="Times New Roman"/>
          <w:vanish/>
          <w:sz w:val="20"/>
          <w:szCs w:val="20"/>
          <w:lang w:eastAsia="pl-PL"/>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61"/>
        <w:gridCol w:w="8916"/>
      </w:tblGrid>
      <w:tr w:rsidR="00D72BFA" w:rsidRPr="00D72BFA" w14:paraId="33D53BFE" w14:textId="77777777" w:rsidTr="00233119">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E5EEB84" w14:textId="77777777" w:rsidR="003E326C"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79DDF7DF" w14:textId="1B6C26E0" w:rsidR="00E22324" w:rsidRPr="00D72BFA" w:rsidRDefault="003E326C" w:rsidP="00D72BFA">
            <w:pPr>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wymagałoby ono niewspółmiernie dużego wysiłku. W takim przypadku wydany zostaje publiczny komunikat lub zastosowany zostaje podobny środek, za pomocą którego osoby, których dane dotyczą, zostają poinformowane w równie skuteczny sposób.</w:t>
            </w:r>
          </w:p>
          <w:p w14:paraId="537B14AE" w14:textId="77777777" w:rsidR="00E22324" w:rsidRPr="00D72BFA" w:rsidRDefault="00E22324" w:rsidP="00D72BFA">
            <w:pPr>
              <w:spacing w:line="276" w:lineRule="auto"/>
              <w:jc w:val="both"/>
              <w:textAlignment w:val="baseline"/>
              <w:rPr>
                <w:rFonts w:ascii="Times New Roman" w:eastAsia="Times New Roman" w:hAnsi="Times New Roman" w:cs="Times New Roman"/>
                <w:sz w:val="20"/>
                <w:szCs w:val="20"/>
                <w:lang w:eastAsia="pl-PL"/>
              </w:rPr>
            </w:pPr>
          </w:p>
        </w:tc>
      </w:tr>
    </w:tbl>
    <w:p w14:paraId="166B3E84" w14:textId="77777777" w:rsidR="003E326C"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4.   Jeżeli administrator nie zawiadomił jeszcze osoby, której dane dotyczą, o naruszeniu ochrony danych osobowych, organ nadzorczy – biorąc pod uwagę prawdopodobieństwo, że to naruszenie ochrony danych osobowych spowoduje wysokie ryzyko – może od niego tego zażądać lub może stwierdzić, że spełniony został jeden z warunków, o których mowa w ust. 3.</w:t>
      </w:r>
    </w:p>
    <w:p w14:paraId="7AA755BE" w14:textId="77777777" w:rsidR="00D72BFA" w:rsidRPr="00D72BFA" w:rsidRDefault="00D72BFA"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p>
    <w:p w14:paraId="2B4A0D1F" w14:textId="77777777" w:rsidR="00C8539E" w:rsidRPr="00D72BFA" w:rsidRDefault="00C8539E" w:rsidP="002F2CAB">
      <w:pPr>
        <w:jc w:val="center"/>
        <w:rPr>
          <w:rFonts w:ascii="Times New Roman" w:hAnsi="Times New Roman" w:cs="Times New Roman"/>
          <w:b/>
          <w:bCs/>
          <w:sz w:val="20"/>
          <w:szCs w:val="20"/>
        </w:rPr>
      </w:pPr>
    </w:p>
    <w:p w14:paraId="52E61675" w14:textId="77777777" w:rsidR="002F2CAB" w:rsidRPr="00D72BFA" w:rsidRDefault="003E326C" w:rsidP="002F2CAB">
      <w:pPr>
        <w:shd w:val="clear" w:color="auto" w:fill="FFFFFF"/>
        <w:jc w:val="center"/>
        <w:textAlignment w:val="baseline"/>
        <w:rPr>
          <w:rFonts w:ascii="Times New Roman" w:eastAsia="Times New Roman" w:hAnsi="Times New Roman" w:cs="Times New Roman"/>
          <w:b/>
          <w:bCs/>
          <w:sz w:val="20"/>
          <w:szCs w:val="20"/>
          <w:lang w:eastAsia="pl-PL"/>
        </w:rPr>
      </w:pPr>
      <w:r w:rsidRPr="00D72BFA">
        <w:rPr>
          <w:rFonts w:ascii="Times New Roman" w:eastAsia="Times New Roman" w:hAnsi="Times New Roman" w:cs="Times New Roman"/>
          <w:b/>
          <w:bCs/>
          <w:sz w:val="20"/>
          <w:szCs w:val="20"/>
          <w:lang w:eastAsia="pl-PL"/>
        </w:rPr>
        <w:lastRenderedPageBreak/>
        <w:t>Prawo do wniesienia skargi do organu nadzorczego</w:t>
      </w:r>
      <w:r w:rsidR="002F2CAB" w:rsidRPr="00D72BFA">
        <w:rPr>
          <w:rFonts w:ascii="Times New Roman" w:eastAsia="Times New Roman" w:hAnsi="Times New Roman" w:cs="Times New Roman"/>
          <w:b/>
          <w:bCs/>
          <w:sz w:val="20"/>
          <w:szCs w:val="20"/>
          <w:lang w:eastAsia="pl-PL"/>
        </w:rPr>
        <w:t xml:space="preserve"> – Art. 77 RODO.</w:t>
      </w:r>
    </w:p>
    <w:p w14:paraId="5FF8692F" w14:textId="77777777" w:rsidR="003E326C" w:rsidRPr="00D72BFA" w:rsidRDefault="003E326C" w:rsidP="00815AF6">
      <w:pPr>
        <w:shd w:val="clear" w:color="auto" w:fill="FFFFFF"/>
        <w:jc w:val="both"/>
        <w:textAlignment w:val="baseline"/>
        <w:rPr>
          <w:rFonts w:ascii="Times New Roman" w:eastAsia="Times New Roman" w:hAnsi="Times New Roman" w:cs="Times New Roman"/>
          <w:b/>
          <w:bCs/>
          <w:sz w:val="20"/>
          <w:szCs w:val="20"/>
          <w:lang w:eastAsia="pl-PL"/>
        </w:rPr>
      </w:pPr>
    </w:p>
    <w:p w14:paraId="57E81261" w14:textId="77777777" w:rsidR="003E326C" w:rsidRP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1.   Bez uszczerbku dla innych administracyjnych lub środków ochrony prawnej przed sądem każda osoba, której dane dotyczą, ma prawo wnieść skargę do organu nadzorczego, w szczególności w państwie członkowskim swojego zwykłego pobytu, swojego miejsca pracy lub miejsca popełnienia domniemanego naruszenia, jeżeli sądzi, że przetwarzanie danych osobowych jej dotyczące narusza niniejsze rozporządzenie.</w:t>
      </w:r>
    </w:p>
    <w:p w14:paraId="746DA758" w14:textId="77777777" w:rsidR="00D72BFA" w:rsidRDefault="003E326C"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eastAsia="Times New Roman" w:hAnsi="Times New Roman" w:cs="Times New Roman"/>
          <w:sz w:val="20"/>
          <w:szCs w:val="20"/>
          <w:lang w:eastAsia="pl-PL"/>
        </w:rPr>
        <w:t>2.   Organ nadzorczy, do którego wniesiono skargę, informuje skarżącego o postępach i efektach rozpatrywania skargi, w tym o możliwości skorzystania z sądowego środka ochrony prawnej na mocy art. 78.</w:t>
      </w:r>
    </w:p>
    <w:p w14:paraId="4BEF31C4" w14:textId="77777777" w:rsidR="00D72BFA" w:rsidRDefault="00D72BFA"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p>
    <w:p w14:paraId="0351401C" w14:textId="77777777" w:rsidR="00D72BFA" w:rsidRDefault="00D72BFA"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p>
    <w:p w14:paraId="4B716A89" w14:textId="77777777" w:rsidR="00D72BFA" w:rsidRDefault="00D72BFA"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p>
    <w:p w14:paraId="1F315700" w14:textId="5F1533CF" w:rsidR="005D47E9" w:rsidRPr="00D72BFA" w:rsidRDefault="005D47E9" w:rsidP="00D72BFA">
      <w:pPr>
        <w:shd w:val="clear" w:color="auto" w:fill="FFFFFF"/>
        <w:spacing w:line="276" w:lineRule="auto"/>
        <w:jc w:val="both"/>
        <w:textAlignment w:val="baseline"/>
        <w:rPr>
          <w:rFonts w:ascii="Times New Roman" w:eastAsia="Times New Roman" w:hAnsi="Times New Roman" w:cs="Times New Roman"/>
          <w:sz w:val="20"/>
          <w:szCs w:val="20"/>
          <w:lang w:eastAsia="pl-PL"/>
        </w:rPr>
      </w:pPr>
      <w:r w:rsidRPr="00D72BFA">
        <w:rPr>
          <w:rFonts w:ascii="Times New Roman" w:hAnsi="Times New Roman"/>
          <w:b/>
          <w:bCs/>
        </w:rPr>
        <w:t>¹</w:t>
      </w:r>
      <w:r w:rsidRPr="00D72BFA">
        <w:rPr>
          <w:rFonts w:ascii="Times New Roman" w:hAnsi="Times New Roman"/>
          <w:bCs/>
          <w:sz w:val="18"/>
          <w:szCs w:val="18"/>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 RODO).</w:t>
      </w:r>
    </w:p>
    <w:p w14:paraId="42E351B3" w14:textId="77777777" w:rsidR="00C8539E" w:rsidRPr="002F2CAB" w:rsidRDefault="00C8539E" w:rsidP="00815AF6">
      <w:pPr>
        <w:jc w:val="both"/>
        <w:rPr>
          <w:rFonts w:ascii="Times New Roman" w:hAnsi="Times New Roman" w:cs="Times New Roman"/>
          <w:color w:val="000000" w:themeColor="text1"/>
        </w:rPr>
      </w:pPr>
    </w:p>
    <w:sectPr w:rsidR="00C8539E" w:rsidRPr="002F2CAB" w:rsidSect="00B6069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BAB8" w14:textId="77777777" w:rsidR="0047172D" w:rsidRDefault="0047172D" w:rsidP="005D47E9">
      <w:r>
        <w:separator/>
      </w:r>
    </w:p>
  </w:endnote>
  <w:endnote w:type="continuationSeparator" w:id="0">
    <w:p w14:paraId="5C073438" w14:textId="77777777" w:rsidR="0047172D" w:rsidRDefault="0047172D" w:rsidP="005D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18"/>
        <w:szCs w:val="18"/>
      </w:rPr>
      <w:id w:val="1198667596"/>
      <w:docPartObj>
        <w:docPartGallery w:val="Page Numbers (Bottom of Page)"/>
        <w:docPartUnique/>
      </w:docPartObj>
    </w:sdtPr>
    <w:sdtContent>
      <w:p w14:paraId="32EF6A07" w14:textId="77777777" w:rsidR="002F2CAB" w:rsidRPr="002F2CAB" w:rsidRDefault="002F2CAB">
        <w:pPr>
          <w:pStyle w:val="Stopka"/>
          <w:jc w:val="right"/>
          <w:rPr>
            <w:rFonts w:ascii="Times New Roman" w:eastAsiaTheme="majorEastAsia" w:hAnsi="Times New Roman" w:cs="Times New Roman"/>
            <w:sz w:val="18"/>
            <w:szCs w:val="18"/>
          </w:rPr>
        </w:pPr>
        <w:r w:rsidRPr="002F2CAB">
          <w:rPr>
            <w:rFonts w:ascii="Times New Roman" w:eastAsiaTheme="majorEastAsia" w:hAnsi="Times New Roman" w:cs="Times New Roman"/>
            <w:sz w:val="18"/>
            <w:szCs w:val="18"/>
          </w:rPr>
          <w:t xml:space="preserve">str. </w:t>
        </w:r>
        <w:r w:rsidR="00FC2B3F" w:rsidRPr="002F2CAB">
          <w:rPr>
            <w:rFonts w:ascii="Times New Roman" w:eastAsiaTheme="minorEastAsia" w:hAnsi="Times New Roman" w:cs="Times New Roman"/>
            <w:sz w:val="18"/>
            <w:szCs w:val="18"/>
          </w:rPr>
          <w:fldChar w:fldCharType="begin"/>
        </w:r>
        <w:r w:rsidRPr="002F2CAB">
          <w:rPr>
            <w:rFonts w:ascii="Times New Roman" w:hAnsi="Times New Roman" w:cs="Times New Roman"/>
            <w:sz w:val="18"/>
            <w:szCs w:val="18"/>
          </w:rPr>
          <w:instrText>PAGE    \* MERGEFORMAT</w:instrText>
        </w:r>
        <w:r w:rsidR="00FC2B3F" w:rsidRPr="002F2CAB">
          <w:rPr>
            <w:rFonts w:ascii="Times New Roman" w:eastAsiaTheme="minorEastAsia" w:hAnsi="Times New Roman" w:cs="Times New Roman"/>
            <w:sz w:val="18"/>
            <w:szCs w:val="18"/>
          </w:rPr>
          <w:fldChar w:fldCharType="separate"/>
        </w:r>
        <w:r w:rsidR="001124A7" w:rsidRPr="001124A7">
          <w:rPr>
            <w:rFonts w:ascii="Times New Roman" w:eastAsiaTheme="majorEastAsia" w:hAnsi="Times New Roman" w:cs="Times New Roman"/>
            <w:noProof/>
            <w:sz w:val="18"/>
            <w:szCs w:val="18"/>
          </w:rPr>
          <w:t>5</w:t>
        </w:r>
        <w:r w:rsidR="00FC2B3F" w:rsidRPr="002F2CAB">
          <w:rPr>
            <w:rFonts w:ascii="Times New Roman" w:eastAsiaTheme="majorEastAsia" w:hAnsi="Times New Roman" w:cs="Times New Roman"/>
            <w:sz w:val="18"/>
            <w:szCs w:val="18"/>
          </w:rPr>
          <w:fldChar w:fldCharType="end"/>
        </w:r>
      </w:p>
    </w:sdtContent>
  </w:sdt>
  <w:p w14:paraId="25C3568D" w14:textId="77777777" w:rsidR="002F2CAB" w:rsidRDefault="002F2C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4EA5" w14:textId="77777777" w:rsidR="0047172D" w:rsidRDefault="0047172D" w:rsidP="005D47E9">
      <w:r>
        <w:separator/>
      </w:r>
    </w:p>
  </w:footnote>
  <w:footnote w:type="continuationSeparator" w:id="0">
    <w:p w14:paraId="4040BC0F" w14:textId="77777777" w:rsidR="0047172D" w:rsidRDefault="0047172D" w:rsidP="005D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pPr w:leftFromText="141" w:rightFromText="141" w:vertAnchor="text" w:horzAnchor="margin" w:tblpX="-2" w:tblpY="35"/>
      <w:tblW w:w="9180" w:type="dxa"/>
      <w:tblLayout w:type="fixed"/>
      <w:tblLook w:val="04A0" w:firstRow="1" w:lastRow="0" w:firstColumn="1" w:lastColumn="0" w:noHBand="0" w:noVBand="1"/>
    </w:tblPr>
    <w:tblGrid>
      <w:gridCol w:w="2376"/>
      <w:gridCol w:w="5529"/>
      <w:gridCol w:w="1275"/>
    </w:tblGrid>
    <w:tr w:rsidR="00D72BFA" w:rsidRPr="00E22324" w14:paraId="13084D0D" w14:textId="77777777" w:rsidTr="00D72BFA">
      <w:tc>
        <w:tcPr>
          <w:tcW w:w="9180" w:type="dxa"/>
          <w:gridSpan w:val="3"/>
        </w:tcPr>
        <w:p w14:paraId="0795A5DA" w14:textId="77777777" w:rsidR="00D72BFA" w:rsidRPr="00E22324" w:rsidRDefault="00D72BFA" w:rsidP="00D72BFA">
          <w:pPr>
            <w:keepNext/>
            <w:keepLines/>
            <w:widowControl w:val="0"/>
            <w:jc w:val="center"/>
            <w:outlineLvl w:val="0"/>
            <w:rPr>
              <w:rFonts w:eastAsia="Arial"/>
              <w:bCs/>
            </w:rPr>
          </w:pPr>
          <w:r w:rsidRPr="00E22324">
            <w:rPr>
              <w:rFonts w:eastAsia="Arial"/>
              <w:bCs/>
            </w:rPr>
            <w:t xml:space="preserve">Dokumenty  Systemu Ochrony Danych Osobowych  </w:t>
          </w:r>
        </w:p>
      </w:tc>
    </w:tr>
    <w:tr w:rsidR="00D72BFA" w:rsidRPr="005D47E9" w14:paraId="19102636" w14:textId="77777777" w:rsidTr="00D72BFA">
      <w:tc>
        <w:tcPr>
          <w:tcW w:w="2376" w:type="dxa"/>
          <w:vMerge w:val="restart"/>
        </w:tcPr>
        <w:p w14:paraId="4080AFAF" w14:textId="77777777" w:rsidR="00D72BFA" w:rsidRPr="005D47E9" w:rsidRDefault="00D72BFA" w:rsidP="00D72BFA">
          <w:pPr>
            <w:keepNext/>
            <w:keepLines/>
            <w:widowControl w:val="0"/>
            <w:ind w:left="142"/>
            <w:jc w:val="both"/>
            <w:outlineLvl w:val="0"/>
            <w:rPr>
              <w:rFonts w:eastAsia="Arial"/>
              <w:bCs/>
              <w:sz w:val="16"/>
              <w:szCs w:val="16"/>
            </w:rPr>
          </w:pPr>
          <w:r w:rsidRPr="005D47E9">
            <w:rPr>
              <w:b/>
              <w:bCs/>
              <w:noProof/>
              <w:sz w:val="32"/>
              <w:szCs w:val="32"/>
            </w:rPr>
            <w:drawing>
              <wp:anchor distT="0" distB="0" distL="114300" distR="114300" simplePos="0" relativeHeight="251660288" behindDoc="1" locked="0" layoutInCell="1" allowOverlap="1" wp14:anchorId="37587478" wp14:editId="32619F19">
                <wp:simplePos x="0" y="0"/>
                <wp:positionH relativeFrom="column">
                  <wp:posOffset>1905</wp:posOffset>
                </wp:positionH>
                <wp:positionV relativeFrom="paragraph">
                  <wp:posOffset>81280</wp:posOffset>
                </wp:positionV>
                <wp:extent cx="1366520" cy="668655"/>
                <wp:effectExtent l="0" t="0" r="0" b="0"/>
                <wp:wrapTight wrapText="bothSides">
                  <wp:wrapPolygon edited="0">
                    <wp:start x="16862" y="2462"/>
                    <wp:lineTo x="0" y="6154"/>
                    <wp:lineTo x="0" y="14769"/>
                    <wp:lineTo x="17766" y="19077"/>
                    <wp:lineTo x="19874" y="19077"/>
                    <wp:lineTo x="21078" y="14769"/>
                    <wp:lineTo x="21379" y="12308"/>
                    <wp:lineTo x="21379" y="5538"/>
                    <wp:lineTo x="18368" y="2462"/>
                    <wp:lineTo x="16862" y="2462"/>
                  </wp:wrapPolygon>
                </wp:wrapTight>
                <wp:docPr id="2044414120" name="Obraz 2044414120" descr="Obraz zawierający tekst, znak, zamkną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nak, zamknąć&#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366520" cy="668655"/>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Merge w:val="restart"/>
          <w:tcBorders>
            <w:right w:val="single" w:sz="4" w:space="0" w:color="auto"/>
          </w:tcBorders>
        </w:tcPr>
        <w:p w14:paraId="23E09CC0" w14:textId="77777777" w:rsidR="00D72BFA" w:rsidRDefault="00D72BFA" w:rsidP="00D72BFA">
          <w:pPr>
            <w:keepNext/>
            <w:keepLines/>
            <w:spacing w:after="80"/>
            <w:outlineLvl w:val="1"/>
            <w:rPr>
              <w:rFonts w:eastAsiaTheme="majorEastAsia"/>
              <w:b/>
              <w:color w:val="000000" w:themeColor="text1"/>
              <w:sz w:val="24"/>
              <w:szCs w:val="24"/>
            </w:rPr>
          </w:pPr>
        </w:p>
        <w:p w14:paraId="7AEA32DC" w14:textId="77777777" w:rsidR="00D72BFA" w:rsidRDefault="00D72BFA" w:rsidP="00D72BFA">
          <w:pPr>
            <w:keepNext/>
            <w:keepLines/>
            <w:spacing w:after="80"/>
            <w:jc w:val="center"/>
            <w:outlineLvl w:val="1"/>
            <w:rPr>
              <w:rFonts w:eastAsiaTheme="majorEastAsia"/>
              <w:b/>
              <w:color w:val="000000" w:themeColor="text1"/>
              <w:sz w:val="24"/>
              <w:szCs w:val="24"/>
            </w:rPr>
          </w:pPr>
          <w:r>
            <w:rPr>
              <w:rFonts w:eastAsiaTheme="majorEastAsia"/>
              <w:b/>
              <w:color w:val="000000" w:themeColor="text1"/>
              <w:sz w:val="24"/>
              <w:szCs w:val="24"/>
            </w:rPr>
            <w:t>PRAWA OSOBY, KTÓREJ DANE DOTYCZĄ,</w:t>
          </w:r>
        </w:p>
        <w:p w14:paraId="05AE1C35" w14:textId="77777777" w:rsidR="00D72BFA" w:rsidRPr="005D47E9" w:rsidRDefault="00D72BFA" w:rsidP="00D72BFA">
          <w:pPr>
            <w:keepNext/>
            <w:keepLines/>
            <w:spacing w:after="80"/>
            <w:jc w:val="center"/>
            <w:outlineLvl w:val="1"/>
            <w:rPr>
              <w:b/>
              <w:bCs/>
            </w:rPr>
          </w:pPr>
          <w:r>
            <w:rPr>
              <w:b/>
              <w:color w:val="000000" w:themeColor="text1"/>
            </w:rPr>
            <w:t xml:space="preserve">wynikające z </w:t>
          </w:r>
          <w:r w:rsidRPr="00B615DB">
            <w:rPr>
              <w:b/>
              <w:color w:val="000000" w:themeColor="text1"/>
            </w:rPr>
            <w:t>Ogólnego rozporządzenia o ochronie danych osobowych z dnia 27 kwietnia 2016r. (RODO)¹</w:t>
          </w:r>
          <w:r>
            <w:rPr>
              <w:b/>
              <w:color w:val="000000" w:themeColor="text1"/>
            </w:rPr>
            <w:t>.</w:t>
          </w:r>
        </w:p>
      </w:tc>
      <w:tc>
        <w:tcPr>
          <w:tcW w:w="1275" w:type="dxa"/>
          <w:tcBorders>
            <w:left w:val="single" w:sz="4" w:space="0" w:color="auto"/>
          </w:tcBorders>
          <w:vAlign w:val="center"/>
        </w:tcPr>
        <w:p w14:paraId="037CE185" w14:textId="77777777" w:rsidR="00D72BFA" w:rsidRPr="005D47E9" w:rsidRDefault="00D72BFA" w:rsidP="00D72BFA">
          <w:pPr>
            <w:keepNext/>
            <w:keepLines/>
            <w:widowControl w:val="0"/>
            <w:outlineLvl w:val="0"/>
            <w:rPr>
              <w:rFonts w:eastAsia="Arial"/>
              <w:bCs/>
            </w:rPr>
          </w:pPr>
          <w:r w:rsidRPr="005D47E9">
            <w:rPr>
              <w:rFonts w:eastAsia="Arial"/>
              <w:bCs/>
            </w:rPr>
            <w:t>Wersja nr I</w:t>
          </w:r>
        </w:p>
        <w:p w14:paraId="68E44AA2" w14:textId="77777777" w:rsidR="00D72BFA" w:rsidRPr="005D47E9" w:rsidRDefault="00D72BFA" w:rsidP="00D72BFA">
          <w:pPr>
            <w:keepNext/>
            <w:keepLines/>
            <w:widowControl w:val="0"/>
            <w:ind w:left="142"/>
            <w:outlineLvl w:val="0"/>
            <w:rPr>
              <w:rFonts w:eastAsia="Arial"/>
              <w:bCs/>
            </w:rPr>
          </w:pPr>
        </w:p>
      </w:tc>
    </w:tr>
    <w:tr w:rsidR="00D72BFA" w:rsidRPr="005D47E9" w14:paraId="25D41057" w14:textId="77777777" w:rsidTr="00D72BFA">
      <w:tc>
        <w:tcPr>
          <w:tcW w:w="2376" w:type="dxa"/>
          <w:vMerge/>
        </w:tcPr>
        <w:p w14:paraId="1B9694AD" w14:textId="77777777" w:rsidR="00D72BFA" w:rsidRPr="005D47E9" w:rsidRDefault="00D72BFA" w:rsidP="00D72BFA">
          <w:pPr>
            <w:keepNext/>
            <w:keepLines/>
            <w:widowControl w:val="0"/>
            <w:ind w:left="142"/>
            <w:jc w:val="both"/>
            <w:outlineLvl w:val="0"/>
            <w:rPr>
              <w:rFonts w:eastAsia="Arial"/>
              <w:bCs/>
              <w:sz w:val="16"/>
              <w:szCs w:val="16"/>
            </w:rPr>
          </w:pPr>
        </w:p>
      </w:tc>
      <w:tc>
        <w:tcPr>
          <w:tcW w:w="5529" w:type="dxa"/>
          <w:vMerge/>
          <w:tcBorders>
            <w:right w:val="single" w:sz="4" w:space="0" w:color="auto"/>
          </w:tcBorders>
        </w:tcPr>
        <w:p w14:paraId="7AD26704" w14:textId="77777777" w:rsidR="00D72BFA" w:rsidRPr="005D47E9" w:rsidRDefault="00D72BFA" w:rsidP="00D72BFA">
          <w:pPr>
            <w:keepNext/>
            <w:keepLines/>
            <w:widowControl w:val="0"/>
            <w:ind w:left="142"/>
            <w:jc w:val="both"/>
            <w:outlineLvl w:val="0"/>
            <w:rPr>
              <w:rFonts w:eastAsia="Arial"/>
              <w:bCs/>
              <w:sz w:val="16"/>
              <w:szCs w:val="16"/>
            </w:rPr>
          </w:pPr>
        </w:p>
      </w:tc>
      <w:tc>
        <w:tcPr>
          <w:tcW w:w="1275" w:type="dxa"/>
          <w:tcBorders>
            <w:left w:val="single" w:sz="4" w:space="0" w:color="auto"/>
          </w:tcBorders>
          <w:vAlign w:val="center"/>
        </w:tcPr>
        <w:p w14:paraId="74C7112A" w14:textId="77777777" w:rsidR="00D72BFA" w:rsidRPr="005D47E9" w:rsidRDefault="00D72BFA" w:rsidP="00D72BFA">
          <w:pPr>
            <w:keepNext/>
            <w:keepLines/>
            <w:widowControl w:val="0"/>
            <w:outlineLvl w:val="0"/>
            <w:rPr>
              <w:rFonts w:eastAsia="Arial"/>
              <w:bCs/>
            </w:rPr>
          </w:pPr>
          <w:r>
            <w:rPr>
              <w:rFonts w:eastAsia="Arial"/>
              <w:bCs/>
            </w:rPr>
            <w:t>10.02.2026</w:t>
          </w:r>
          <w:r w:rsidRPr="005D47E9">
            <w:rPr>
              <w:rFonts w:eastAsia="Arial"/>
              <w:bCs/>
            </w:rPr>
            <w:t>r.</w:t>
          </w:r>
        </w:p>
        <w:p w14:paraId="13EA7D42" w14:textId="77777777" w:rsidR="00D72BFA" w:rsidRPr="005D47E9" w:rsidRDefault="00D72BFA" w:rsidP="00D72BFA">
          <w:pPr>
            <w:keepNext/>
            <w:keepLines/>
            <w:widowControl w:val="0"/>
            <w:ind w:left="142"/>
            <w:outlineLvl w:val="0"/>
            <w:rPr>
              <w:rFonts w:eastAsia="Arial"/>
              <w:bCs/>
            </w:rPr>
          </w:pPr>
        </w:p>
      </w:tc>
    </w:tr>
    <w:tr w:rsidR="00D72BFA" w:rsidRPr="005D47E9" w14:paraId="4A7CF88F" w14:textId="77777777" w:rsidTr="00D72BFA">
      <w:tc>
        <w:tcPr>
          <w:tcW w:w="2376" w:type="dxa"/>
          <w:vMerge/>
        </w:tcPr>
        <w:p w14:paraId="53839865" w14:textId="77777777" w:rsidR="00D72BFA" w:rsidRPr="005D47E9" w:rsidRDefault="00D72BFA" w:rsidP="00D72BFA">
          <w:pPr>
            <w:keepNext/>
            <w:keepLines/>
            <w:widowControl w:val="0"/>
            <w:ind w:left="142"/>
            <w:jc w:val="both"/>
            <w:outlineLvl w:val="0"/>
            <w:rPr>
              <w:rFonts w:eastAsia="Arial"/>
              <w:bCs/>
              <w:sz w:val="16"/>
              <w:szCs w:val="16"/>
            </w:rPr>
          </w:pPr>
        </w:p>
      </w:tc>
      <w:tc>
        <w:tcPr>
          <w:tcW w:w="5529" w:type="dxa"/>
          <w:vMerge/>
          <w:tcBorders>
            <w:right w:val="single" w:sz="4" w:space="0" w:color="auto"/>
          </w:tcBorders>
        </w:tcPr>
        <w:p w14:paraId="7A7A3CC5" w14:textId="77777777" w:rsidR="00D72BFA" w:rsidRPr="005D47E9" w:rsidRDefault="00D72BFA" w:rsidP="00D72BFA">
          <w:pPr>
            <w:keepNext/>
            <w:keepLines/>
            <w:widowControl w:val="0"/>
            <w:ind w:left="142"/>
            <w:outlineLvl w:val="0"/>
            <w:rPr>
              <w:rFonts w:eastAsia="Arial"/>
              <w:bCs/>
              <w:sz w:val="16"/>
              <w:szCs w:val="16"/>
            </w:rPr>
          </w:pPr>
        </w:p>
      </w:tc>
      <w:tc>
        <w:tcPr>
          <w:tcW w:w="1275" w:type="dxa"/>
          <w:tcBorders>
            <w:left w:val="single" w:sz="4" w:space="0" w:color="auto"/>
          </w:tcBorders>
          <w:vAlign w:val="center"/>
        </w:tcPr>
        <w:p w14:paraId="3E7A48DA" w14:textId="77777777" w:rsidR="00D72BFA" w:rsidRPr="005D47E9" w:rsidRDefault="00D72BFA" w:rsidP="00D72BFA">
          <w:pPr>
            <w:keepNext/>
            <w:keepLines/>
            <w:widowControl w:val="0"/>
            <w:outlineLvl w:val="0"/>
            <w:rPr>
              <w:rFonts w:eastAsia="Arial"/>
              <w:bCs/>
            </w:rPr>
          </w:pPr>
          <w:r w:rsidRPr="005D47E9">
            <w:rPr>
              <w:rFonts w:eastAsia="Arial"/>
              <w:bCs/>
            </w:rPr>
            <w:t xml:space="preserve">Stron: </w:t>
          </w:r>
          <w:r>
            <w:rPr>
              <w:rFonts w:eastAsia="Arial"/>
              <w:bCs/>
            </w:rPr>
            <w:t>5</w:t>
          </w:r>
        </w:p>
        <w:p w14:paraId="7449B3A0" w14:textId="77777777" w:rsidR="00D72BFA" w:rsidRPr="005D47E9" w:rsidRDefault="00D72BFA" w:rsidP="00D72BFA">
          <w:pPr>
            <w:keepNext/>
            <w:keepLines/>
            <w:widowControl w:val="0"/>
            <w:ind w:left="142"/>
            <w:outlineLvl w:val="0"/>
            <w:rPr>
              <w:rFonts w:eastAsia="Arial"/>
              <w:bCs/>
            </w:rPr>
          </w:pPr>
        </w:p>
      </w:tc>
    </w:tr>
  </w:tbl>
  <w:p w14:paraId="4121FEB5" w14:textId="77777777" w:rsidR="005D47E9" w:rsidRDefault="005D47E9">
    <w:pPr>
      <w:pStyle w:val="Nagwek"/>
    </w:pPr>
  </w:p>
  <w:p w14:paraId="3CE0B118" w14:textId="77777777" w:rsidR="00D72BFA" w:rsidRDefault="00D72BFA">
    <w:pPr>
      <w:pStyle w:val="Nagwek"/>
    </w:pPr>
  </w:p>
  <w:p w14:paraId="1CF7BB74" w14:textId="77777777" w:rsidR="00D72BFA" w:rsidRDefault="00D72BFA">
    <w:pPr>
      <w:pStyle w:val="Nagwek"/>
    </w:pPr>
  </w:p>
  <w:p w14:paraId="18478A77" w14:textId="77777777" w:rsidR="00D72BFA" w:rsidRDefault="00D72BFA">
    <w:pPr>
      <w:pStyle w:val="Nagwek"/>
    </w:pPr>
  </w:p>
  <w:p w14:paraId="55F8225B" w14:textId="77777777" w:rsidR="00D72BFA" w:rsidRDefault="00D72BFA">
    <w:pPr>
      <w:pStyle w:val="Nagwek"/>
    </w:pPr>
  </w:p>
  <w:p w14:paraId="700953E6" w14:textId="77777777" w:rsidR="00D72BFA" w:rsidRDefault="00D72BFA">
    <w:pPr>
      <w:pStyle w:val="Nagwek"/>
    </w:pPr>
  </w:p>
  <w:p w14:paraId="14EA9CFF" w14:textId="77777777" w:rsidR="00D72BFA" w:rsidRDefault="00D72B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230B"/>
    <w:multiLevelType w:val="multilevel"/>
    <w:tmpl w:val="2E52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74644"/>
    <w:multiLevelType w:val="multilevel"/>
    <w:tmpl w:val="9DD4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40413"/>
    <w:multiLevelType w:val="multilevel"/>
    <w:tmpl w:val="ECD8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6173C"/>
    <w:multiLevelType w:val="multilevel"/>
    <w:tmpl w:val="F72CF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477B3"/>
    <w:multiLevelType w:val="multilevel"/>
    <w:tmpl w:val="DF1A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D4566"/>
    <w:multiLevelType w:val="multilevel"/>
    <w:tmpl w:val="44E8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A6E57"/>
    <w:multiLevelType w:val="multilevel"/>
    <w:tmpl w:val="ACF47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A52EC2"/>
    <w:multiLevelType w:val="multilevel"/>
    <w:tmpl w:val="05D4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F1E31"/>
    <w:multiLevelType w:val="multilevel"/>
    <w:tmpl w:val="0DFCF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017F89"/>
    <w:multiLevelType w:val="multilevel"/>
    <w:tmpl w:val="F9A6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7953F2"/>
    <w:multiLevelType w:val="multilevel"/>
    <w:tmpl w:val="4F84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7D7DFA"/>
    <w:multiLevelType w:val="multilevel"/>
    <w:tmpl w:val="42F66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90338A"/>
    <w:multiLevelType w:val="multilevel"/>
    <w:tmpl w:val="DD86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EF4731"/>
    <w:multiLevelType w:val="multilevel"/>
    <w:tmpl w:val="BC2A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338098">
    <w:abstractNumId w:val="12"/>
  </w:num>
  <w:num w:numId="2" w16cid:durableId="2107191901">
    <w:abstractNumId w:val="3"/>
  </w:num>
  <w:num w:numId="3" w16cid:durableId="155534504">
    <w:abstractNumId w:val="5"/>
  </w:num>
  <w:num w:numId="4" w16cid:durableId="2006125717">
    <w:abstractNumId w:val="11"/>
  </w:num>
  <w:num w:numId="5" w16cid:durableId="631447871">
    <w:abstractNumId w:val="1"/>
  </w:num>
  <w:num w:numId="6" w16cid:durableId="590284831">
    <w:abstractNumId w:val="4"/>
  </w:num>
  <w:num w:numId="7" w16cid:durableId="1460228017">
    <w:abstractNumId w:val="9"/>
  </w:num>
  <w:num w:numId="8" w16cid:durableId="1796633908">
    <w:abstractNumId w:val="10"/>
  </w:num>
  <w:num w:numId="9" w16cid:durableId="1580290789">
    <w:abstractNumId w:val="8"/>
  </w:num>
  <w:num w:numId="10" w16cid:durableId="1850757883">
    <w:abstractNumId w:val="13"/>
  </w:num>
  <w:num w:numId="11" w16cid:durableId="1669673634">
    <w:abstractNumId w:val="2"/>
  </w:num>
  <w:num w:numId="12" w16cid:durableId="518079063">
    <w:abstractNumId w:val="6"/>
  </w:num>
  <w:num w:numId="13" w16cid:durableId="980233026">
    <w:abstractNumId w:val="7"/>
  </w:num>
  <w:num w:numId="14" w16cid:durableId="42318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7328"/>
    <w:rsid w:val="00020957"/>
    <w:rsid w:val="001124A7"/>
    <w:rsid w:val="002A53CB"/>
    <w:rsid w:val="002F2CAB"/>
    <w:rsid w:val="003548B0"/>
    <w:rsid w:val="003E326C"/>
    <w:rsid w:val="0047172D"/>
    <w:rsid w:val="00562EB7"/>
    <w:rsid w:val="005D47E9"/>
    <w:rsid w:val="00766780"/>
    <w:rsid w:val="007C1947"/>
    <w:rsid w:val="00815AF6"/>
    <w:rsid w:val="009151D7"/>
    <w:rsid w:val="00B57328"/>
    <w:rsid w:val="00B60693"/>
    <w:rsid w:val="00C8539E"/>
    <w:rsid w:val="00D72BFA"/>
    <w:rsid w:val="00E22324"/>
    <w:rsid w:val="00E23570"/>
    <w:rsid w:val="00FC2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16191"/>
  <w15:docId w15:val="{D5E1CAC7-38E9-4F7F-AF89-8BE51208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539E"/>
  </w:style>
  <w:style w:type="paragraph" w:styleId="Nagwek1">
    <w:name w:val="heading 1"/>
    <w:basedOn w:val="Normalny"/>
    <w:next w:val="Normalny"/>
    <w:link w:val="Nagwek1Znak"/>
    <w:uiPriority w:val="9"/>
    <w:qFormat/>
    <w:rsid w:val="00B57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7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732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732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732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732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732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732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732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732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732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732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732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732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73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73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73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7328"/>
    <w:rPr>
      <w:rFonts w:eastAsiaTheme="majorEastAsia" w:cstheme="majorBidi"/>
      <w:color w:val="272727" w:themeColor="text1" w:themeTint="D8"/>
    </w:rPr>
  </w:style>
  <w:style w:type="paragraph" w:styleId="Tytu">
    <w:name w:val="Title"/>
    <w:basedOn w:val="Normalny"/>
    <w:next w:val="Normalny"/>
    <w:link w:val="TytuZnak"/>
    <w:uiPriority w:val="10"/>
    <w:qFormat/>
    <w:rsid w:val="00B5732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73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7328"/>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73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7328"/>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57328"/>
    <w:rPr>
      <w:i/>
      <w:iCs/>
      <w:color w:val="404040" w:themeColor="text1" w:themeTint="BF"/>
    </w:rPr>
  </w:style>
  <w:style w:type="paragraph" w:styleId="Akapitzlist">
    <w:name w:val="List Paragraph"/>
    <w:basedOn w:val="Normalny"/>
    <w:uiPriority w:val="34"/>
    <w:qFormat/>
    <w:rsid w:val="00B57328"/>
    <w:pPr>
      <w:ind w:left="720"/>
      <w:contextualSpacing/>
    </w:pPr>
  </w:style>
  <w:style w:type="character" w:styleId="Wyrnienieintensywne">
    <w:name w:val="Intense Emphasis"/>
    <w:basedOn w:val="Domylnaczcionkaakapitu"/>
    <w:uiPriority w:val="21"/>
    <w:qFormat/>
    <w:rsid w:val="00B57328"/>
    <w:rPr>
      <w:i/>
      <w:iCs/>
      <w:color w:val="0F4761" w:themeColor="accent1" w:themeShade="BF"/>
    </w:rPr>
  </w:style>
  <w:style w:type="paragraph" w:styleId="Cytatintensywny">
    <w:name w:val="Intense Quote"/>
    <w:basedOn w:val="Normalny"/>
    <w:next w:val="Normalny"/>
    <w:link w:val="CytatintensywnyZnak"/>
    <w:uiPriority w:val="30"/>
    <w:qFormat/>
    <w:rsid w:val="00B57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7328"/>
    <w:rPr>
      <w:i/>
      <w:iCs/>
      <w:color w:val="0F4761" w:themeColor="accent1" w:themeShade="BF"/>
    </w:rPr>
  </w:style>
  <w:style w:type="character" w:styleId="Odwoanieintensywne">
    <w:name w:val="Intense Reference"/>
    <w:basedOn w:val="Domylnaczcionkaakapitu"/>
    <w:uiPriority w:val="32"/>
    <w:qFormat/>
    <w:rsid w:val="00B57328"/>
    <w:rPr>
      <w:b/>
      <w:bCs/>
      <w:smallCaps/>
      <w:color w:val="0F4761" w:themeColor="accent1" w:themeShade="BF"/>
      <w:spacing w:val="5"/>
    </w:rPr>
  </w:style>
  <w:style w:type="paragraph" w:styleId="Nagwek">
    <w:name w:val="header"/>
    <w:basedOn w:val="Normalny"/>
    <w:link w:val="NagwekZnak"/>
    <w:uiPriority w:val="99"/>
    <w:unhideWhenUsed/>
    <w:rsid w:val="005D47E9"/>
    <w:pPr>
      <w:tabs>
        <w:tab w:val="center" w:pos="4536"/>
        <w:tab w:val="right" w:pos="9072"/>
      </w:tabs>
    </w:pPr>
  </w:style>
  <w:style w:type="character" w:customStyle="1" w:styleId="NagwekZnak">
    <w:name w:val="Nagłówek Znak"/>
    <w:basedOn w:val="Domylnaczcionkaakapitu"/>
    <w:link w:val="Nagwek"/>
    <w:uiPriority w:val="99"/>
    <w:rsid w:val="005D47E9"/>
  </w:style>
  <w:style w:type="paragraph" w:styleId="Stopka">
    <w:name w:val="footer"/>
    <w:basedOn w:val="Normalny"/>
    <w:link w:val="StopkaZnak"/>
    <w:uiPriority w:val="99"/>
    <w:unhideWhenUsed/>
    <w:rsid w:val="005D47E9"/>
    <w:pPr>
      <w:tabs>
        <w:tab w:val="center" w:pos="4536"/>
        <w:tab w:val="right" w:pos="9072"/>
      </w:tabs>
    </w:pPr>
  </w:style>
  <w:style w:type="character" w:customStyle="1" w:styleId="StopkaZnak">
    <w:name w:val="Stopka Znak"/>
    <w:basedOn w:val="Domylnaczcionkaakapitu"/>
    <w:link w:val="Stopka"/>
    <w:uiPriority w:val="99"/>
    <w:rsid w:val="005D47E9"/>
  </w:style>
  <w:style w:type="table" w:styleId="Tabela-Siatka">
    <w:name w:val="Table Grid"/>
    <w:basedOn w:val="Standardowy"/>
    <w:uiPriority w:val="39"/>
    <w:rsid w:val="005D47E9"/>
    <w:rPr>
      <w:rFonts w:ascii="Times New Roman" w:eastAsia="Times New Roman" w:hAnsi="Times New Roman"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124A7"/>
    <w:rPr>
      <w:rFonts w:ascii="Tahoma" w:hAnsi="Tahoma" w:cs="Tahoma"/>
      <w:sz w:val="16"/>
      <w:szCs w:val="16"/>
    </w:rPr>
  </w:style>
  <w:style w:type="character" w:customStyle="1" w:styleId="TekstdymkaZnak">
    <w:name w:val="Tekst dymka Znak"/>
    <w:basedOn w:val="Domylnaczcionkaakapitu"/>
    <w:link w:val="Tekstdymka"/>
    <w:uiPriority w:val="99"/>
    <w:semiHidden/>
    <w:rsid w:val="00112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2066</Words>
  <Characters>12419</Characters>
  <Application>Microsoft Office Word</Application>
  <DocSecurity>0</DocSecurity>
  <Lines>253</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Wiśniewski</dc:creator>
  <cp:keywords/>
  <dc:description/>
  <cp:lastModifiedBy>Jan Wiśniewski</cp:lastModifiedBy>
  <cp:revision>8</cp:revision>
  <cp:lastPrinted>2026-02-04T10:29:00Z</cp:lastPrinted>
  <dcterms:created xsi:type="dcterms:W3CDTF">2026-01-07T14:08:00Z</dcterms:created>
  <dcterms:modified xsi:type="dcterms:W3CDTF">2026-02-26T11:32:00Z</dcterms:modified>
</cp:coreProperties>
</file>